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A2" w:rsidRDefault="00DB31A2" w:rsidP="00DB31A2">
      <w:pPr>
        <w:ind w:firstLine="0"/>
      </w:pPr>
      <w:proofErr w:type="spellStart"/>
      <w:r>
        <w:t>Исрафилов</w:t>
      </w:r>
      <w:proofErr w:type="spellEnd"/>
      <w:r>
        <w:t xml:space="preserve"> Али</w:t>
      </w:r>
    </w:p>
    <w:p w:rsidR="00DB31A2" w:rsidRDefault="00DB31A2" w:rsidP="00DB31A2">
      <w:pPr>
        <w:ind w:firstLine="0"/>
      </w:pPr>
    </w:p>
    <w:p w:rsidR="00DB31A2" w:rsidRDefault="00DB31A2" w:rsidP="00DB31A2">
      <w:pPr>
        <w:ind w:firstLine="0"/>
      </w:pPr>
    </w:p>
    <w:p w:rsidR="00DB31A2" w:rsidRPr="00DB31A2" w:rsidRDefault="00DB31A2" w:rsidP="00DB31A2">
      <w:pPr>
        <w:ind w:firstLine="0"/>
        <w:rPr>
          <w:b/>
          <w:sz w:val="28"/>
          <w:szCs w:val="28"/>
        </w:rPr>
      </w:pPr>
      <w:r w:rsidRPr="00DB31A2">
        <w:rPr>
          <w:b/>
          <w:sz w:val="28"/>
          <w:szCs w:val="28"/>
        </w:rPr>
        <w:t>ХАДИС</w:t>
      </w:r>
      <w:r w:rsidR="009C3255">
        <w:rPr>
          <w:b/>
          <w:sz w:val="28"/>
          <w:szCs w:val="28"/>
        </w:rPr>
        <w:t>Ы</w:t>
      </w:r>
      <w:bookmarkStart w:id="0" w:name="_GoBack"/>
      <w:bookmarkEnd w:id="0"/>
      <w:r w:rsidRPr="00DB31A2">
        <w:rPr>
          <w:b/>
          <w:sz w:val="28"/>
          <w:szCs w:val="28"/>
        </w:rPr>
        <w:t>.</w:t>
      </w:r>
    </w:p>
    <w:p w:rsidR="00DB31A2" w:rsidRDefault="00DB31A2" w:rsidP="00DB31A2">
      <w:pPr>
        <w:ind w:firstLine="0"/>
      </w:pPr>
    </w:p>
    <w:p w:rsidR="00DB31A2" w:rsidRPr="00DB31A2" w:rsidRDefault="00DB31A2" w:rsidP="00DB31A2"/>
    <w:p w:rsidR="00512D3C" w:rsidRPr="00D5556B" w:rsidRDefault="00512D3C" w:rsidP="00512D3C">
      <w:pPr>
        <w:ind w:left="-15" w:right="40"/>
        <w:rPr>
          <w:sz w:val="22"/>
        </w:rPr>
      </w:pPr>
      <w:r w:rsidRPr="00D5556B"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EFD620" wp14:editId="7DF654A0">
                <wp:simplePos x="0" y="0"/>
                <wp:positionH relativeFrom="page">
                  <wp:posOffset>7554670</wp:posOffset>
                </wp:positionH>
                <wp:positionV relativeFrom="page">
                  <wp:posOffset>1163117</wp:posOffset>
                </wp:positionV>
                <wp:extent cx="67767" cy="5456174"/>
                <wp:effectExtent l="0" t="0" r="0" b="11430"/>
                <wp:wrapSquare wrapText="bothSides"/>
                <wp:docPr id="44674" name="Group 44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67767" cy="5456174"/>
                          <a:chOff x="0" y="0"/>
                          <a:chExt cx="12700" cy="5493246"/>
                        </a:xfrm>
                      </wpg:grpSpPr>
                      <wps:wsp>
                        <wps:cNvPr id="243" name="Shape 243"/>
                        <wps:cNvSpPr/>
                        <wps:spPr>
                          <a:xfrm>
                            <a:off x="0" y="0"/>
                            <a:ext cx="0" cy="5493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3246">
                                <a:moveTo>
                                  <a:pt x="0" y="0"/>
                                </a:moveTo>
                                <a:lnTo>
                                  <a:pt x="0" y="5493246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7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5D1B4" id="Group 44674" o:spid="_x0000_s1026" style="position:absolute;margin-left:594.85pt;margin-top:91.6pt;width:5.35pt;height:429.6pt;flip:x;z-index:251659264;mso-position-horizontal-relative:page;mso-position-vertical-relative:page;mso-width-relative:margin;mso-height-relative:margin" coordsize="127,5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">
                <v:shape id="Shape 243" o:spid="_x0000_s1027" style="position:absolute;width:0;height:54932;visibility:visible;mso-wrap-style:square;v-text-anchor:top" coordsize="0,549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9r8UA&#10;AADcAAAADwAAAGRycy9kb3ducmV2LnhtbESPUWvCQBCE3wv9D8cW+lYvxmo19RQtFCy+2OgPWHPb&#10;JJjbi7lV03/fKxT6OMzMN8x82btGXakLtWcDw0ECirjwtubSwGH//jQFFQTZYuOZDHxTgOXi/m6O&#10;mfU3/qRrLqWKEA4ZGqhE2kzrUFTkMAx8Sxy9L985lCi7UtsObxHuGp0myUQ7rDkuVNjSW0XFKb84&#10;A5vdi4zH08P6mF8+zttUy1GHmTGPD/3qFZRQL//hv/bGGkifR/B7Jh4B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f2vxQAAANwAAAAPAAAAAAAAAAAAAAAAAJgCAABkcnMv&#10;ZG93bnJldi54bWxQSwUGAAAAAAQABAD1AAAAigMAAAAA&#10;" path="m,l,5493246e" filled="f" strokecolor="#221f1f" strokeweight="1pt">
                  <v:stroke endcap="round"/>
                  <v:path arrowok="t" textboxrect="0,0,0,5493246"/>
                </v:shape>
                <w10:wrap type="square" anchorx="page" anchory="page"/>
              </v:group>
            </w:pict>
          </mc:Fallback>
        </mc:AlternateContent>
      </w:r>
      <w:r w:rsidRPr="00D5556B">
        <w:rPr>
          <w:sz w:val="22"/>
        </w:rPr>
        <w:t xml:space="preserve">Хадисы, как кладовая сунны Пророка, сохранили огромную значимость для всех мусульман со времен Пророка Мухаммада как для отдельного мусульманина, так и для мусульманской общины. </w:t>
      </w:r>
      <w:proofErr w:type="spellStart"/>
      <w:r w:rsidRPr="00D5556B">
        <w:rPr>
          <w:sz w:val="22"/>
        </w:rPr>
        <w:t>Хадисоведческая</w:t>
      </w:r>
      <w:proofErr w:type="spellEnd"/>
      <w:r w:rsidRPr="00D5556B">
        <w:rPr>
          <w:sz w:val="22"/>
        </w:rPr>
        <w:t xml:space="preserve"> литература изучает хадисы, включающие разрешенное и запретное в высказываниях Пророка; рассказы о его жизни; а также положения, которые он одобрял. </w:t>
      </w:r>
    </w:p>
    <w:p w:rsidR="00512D3C" w:rsidRPr="00D5556B" w:rsidRDefault="00512D3C" w:rsidP="00512D3C">
      <w:pPr>
        <w:spacing w:after="26" w:line="259" w:lineRule="auto"/>
        <w:ind w:firstLine="170"/>
        <w:jc w:val="left"/>
        <w:rPr>
          <w:sz w:val="22"/>
        </w:rPr>
      </w:pPr>
      <w:r w:rsidRPr="00D5556B">
        <w:rPr>
          <w:sz w:val="22"/>
        </w:rPr>
        <w:t>Всевышний Аллах говорит: «Берите же то, что дал вам Посланник, и сторонитесь того, что он запретил вам»</w:t>
      </w:r>
      <w:r w:rsidRPr="00D5556B">
        <w:rPr>
          <w:b/>
          <w:sz w:val="22"/>
        </w:rPr>
        <w:t xml:space="preserve"> </w:t>
      </w:r>
      <w:r w:rsidRPr="00D5556B">
        <w:rPr>
          <w:sz w:val="22"/>
        </w:rPr>
        <w:t>(Коран, 59: 7).</w:t>
      </w:r>
    </w:p>
    <w:p w:rsidR="00512D3C" w:rsidRPr="00D5556B" w:rsidRDefault="00512D3C" w:rsidP="00512D3C">
      <w:pPr>
        <w:ind w:left="-15" w:right="40"/>
        <w:rPr>
          <w:sz w:val="22"/>
        </w:rPr>
      </w:pPr>
      <w:r w:rsidRPr="00D5556B">
        <w:rPr>
          <w:sz w:val="22"/>
        </w:rPr>
        <w:t xml:space="preserve">Данный </w:t>
      </w:r>
      <w:proofErr w:type="spellStart"/>
      <w:r w:rsidRPr="00D5556B">
        <w:rPr>
          <w:sz w:val="22"/>
        </w:rPr>
        <w:t>аят</w:t>
      </w:r>
      <w:proofErr w:type="spellEnd"/>
      <w:r w:rsidRPr="00D5556B">
        <w:rPr>
          <w:sz w:val="22"/>
        </w:rPr>
        <w:t xml:space="preserve">, наряду с другими кораническими </w:t>
      </w:r>
      <w:proofErr w:type="spellStart"/>
      <w:r w:rsidRPr="00D5556B">
        <w:rPr>
          <w:sz w:val="22"/>
        </w:rPr>
        <w:t>аятами</w:t>
      </w:r>
      <w:proofErr w:type="spellEnd"/>
      <w:r w:rsidRPr="00D5556B">
        <w:rPr>
          <w:sz w:val="22"/>
        </w:rPr>
        <w:t xml:space="preserve">, придает особое значение тому обстоятельству, что вся жизнь </w:t>
      </w:r>
      <w:proofErr w:type="gramStart"/>
      <w:r w:rsidRPr="00D5556B">
        <w:rPr>
          <w:sz w:val="22"/>
        </w:rPr>
        <w:t>Мухаммада  (</w:t>
      </w:r>
      <w:proofErr w:type="gramEnd"/>
      <w:r w:rsidRPr="00D5556B">
        <w:rPr>
          <w:sz w:val="22"/>
        </w:rPr>
        <w:t>решения, суждения и распоряжения) устанавливают неоспоримый авторитет Пророка. И по этой причине мусульманская община с самого начала пророческой миссии подчинилась власти Пророка, приняла его устные распоряжения, поступки, утверждения, произносимые им не на аудиторию, а в качестве жизненного кредо, как   обязательный фактор и модель, которой нужно следовать.</w:t>
      </w:r>
    </w:p>
    <w:p w:rsidR="00512D3C" w:rsidRPr="00D5556B" w:rsidRDefault="00512D3C" w:rsidP="00512D3C">
      <w:pPr>
        <w:ind w:left="-15" w:right="40"/>
        <w:rPr>
          <w:sz w:val="22"/>
        </w:rPr>
      </w:pPr>
      <w:r w:rsidRPr="00D5556B">
        <w:rPr>
          <w:sz w:val="22"/>
        </w:rPr>
        <w:t xml:space="preserve"> Вся деятельность Пророка охвачена сунной, которая была, остается и будет оставаться одним из главных источников                    мусульманского права, вторичной только по отношению к Корану.    </w:t>
      </w:r>
    </w:p>
    <w:p w:rsidR="00512D3C" w:rsidRDefault="00512D3C" w:rsidP="00512D3C">
      <w:pPr>
        <w:ind w:right="40" w:firstLine="0"/>
      </w:pPr>
    </w:p>
    <w:p w:rsidR="00512D3C" w:rsidRDefault="00512D3C" w:rsidP="00512D3C">
      <w:pPr>
        <w:spacing w:after="82" w:line="271" w:lineRule="auto"/>
        <w:ind w:left="-5" w:hanging="10"/>
        <w:jc w:val="left"/>
        <w:rPr>
          <w:b/>
          <w:sz w:val="24"/>
        </w:rPr>
      </w:pPr>
      <w:r w:rsidRPr="00512D3C">
        <w:rPr>
          <w:b/>
          <w:sz w:val="24"/>
        </w:rPr>
        <w:t>Хадис, его значение, понятие и</w:t>
      </w:r>
      <w:r>
        <w:rPr>
          <w:b/>
          <w:sz w:val="24"/>
        </w:rPr>
        <w:t xml:space="preserve"> </w:t>
      </w:r>
      <w:r w:rsidRPr="00512D3C">
        <w:rPr>
          <w:b/>
          <w:sz w:val="24"/>
        </w:rPr>
        <w:t>авторитет</w:t>
      </w:r>
      <w:r>
        <w:rPr>
          <w:b/>
          <w:sz w:val="24"/>
        </w:rPr>
        <w:t>.</w:t>
      </w:r>
    </w:p>
    <w:p w:rsidR="00512D3C" w:rsidRPr="00D5556B" w:rsidRDefault="00512D3C" w:rsidP="00512D3C">
      <w:pPr>
        <w:spacing w:after="262"/>
        <w:ind w:left="-15" w:right="40"/>
        <w:rPr>
          <w:sz w:val="22"/>
        </w:rPr>
      </w:pPr>
      <w:r w:rsidRPr="00D5556B">
        <w:rPr>
          <w:b/>
          <w:sz w:val="22"/>
        </w:rPr>
        <w:t xml:space="preserve">Слово хадис и его значение.   </w:t>
      </w:r>
      <w:r w:rsidRPr="00D5556B">
        <w:rPr>
          <w:sz w:val="22"/>
        </w:rPr>
        <w:t xml:space="preserve">Арабское слово хадис означает «сообщение, рассказ, разговор: религиозный или светский, имеющий отношение к истории или современности». При использовании в качестве прилагательного оно имеет значение «новый». </w:t>
      </w:r>
    </w:p>
    <w:p w:rsidR="00512D3C" w:rsidRDefault="00512D3C" w:rsidP="00512D3C">
      <w:pPr>
        <w:spacing w:after="228" w:line="271" w:lineRule="auto"/>
        <w:ind w:left="-5" w:hanging="10"/>
        <w:jc w:val="left"/>
      </w:pPr>
      <w:r>
        <w:rPr>
          <w:b/>
          <w:i/>
          <w:sz w:val="24"/>
        </w:rPr>
        <w:t xml:space="preserve">. </w:t>
      </w:r>
      <w:r w:rsidRPr="00D5556B">
        <w:rPr>
          <w:b/>
          <w:sz w:val="28"/>
          <w:szCs w:val="28"/>
        </w:rPr>
        <w:t>Пророк и его хадисы: обучение сподвижников, изучение и распространение</w:t>
      </w:r>
    </w:p>
    <w:p w:rsidR="00512D3C" w:rsidRPr="00512D3C" w:rsidRDefault="00512D3C" w:rsidP="00512D3C">
      <w:pPr>
        <w:rPr>
          <w:b/>
        </w:rPr>
      </w:pPr>
      <w:r w:rsidRPr="00512D3C">
        <w:rPr>
          <w:b/>
        </w:rPr>
        <w:t>Передача хадисов Пророка</w:t>
      </w:r>
    </w:p>
    <w:p w:rsidR="00512D3C" w:rsidRPr="00D5556B" w:rsidRDefault="00512D3C" w:rsidP="00512D3C">
      <w:pPr>
        <w:spacing w:after="262"/>
        <w:ind w:left="-15" w:right="40"/>
        <w:rPr>
          <w:sz w:val="22"/>
        </w:rPr>
      </w:pPr>
      <w:r w:rsidRPr="00D5556B">
        <w:rPr>
          <w:sz w:val="22"/>
        </w:rPr>
        <w:t>Хадисы – кладовая сунны Пророка – сохранили свою существенную важность как для отдельного мусульманина, так и для мусульманской общины. В этой главе мы попытаемся рассмотреть связанные между собой виды деятельности и описать методы, которые были использованы при обучении хадисам, при их изучении и сохранении, а также факторы, которые помогали сподвижникам при выполнении этой задачи.</w:t>
      </w:r>
    </w:p>
    <w:p w:rsidR="00512D3C" w:rsidRDefault="00512D3C" w:rsidP="00512D3C">
      <w:pPr>
        <w:spacing w:after="262"/>
        <w:ind w:left="-15" w:right="40"/>
        <w:rPr>
          <w:b/>
          <w:sz w:val="28"/>
          <w:szCs w:val="28"/>
        </w:rPr>
      </w:pPr>
      <w:r w:rsidRPr="00512D3C">
        <w:rPr>
          <w:b/>
          <w:sz w:val="28"/>
          <w:szCs w:val="28"/>
        </w:rPr>
        <w:t>Первая практика. Устная декламация Хадисов Учителем.</w:t>
      </w:r>
    </w:p>
    <w:p w:rsidR="00512D3C" w:rsidRPr="00D5556B" w:rsidRDefault="00512D3C" w:rsidP="00512D3C">
      <w:pPr>
        <w:spacing w:after="262"/>
        <w:ind w:left="-15" w:right="40"/>
        <w:rPr>
          <w:b/>
          <w:sz w:val="22"/>
        </w:rPr>
      </w:pPr>
      <w:r w:rsidRPr="00D5556B">
        <w:rPr>
          <w:sz w:val="22"/>
        </w:rPr>
        <w:t xml:space="preserve">Употребление этой практики начало уменьшаться со второй половины второго столетия, хотя в некоторых районах она все-таки продолжала существовать достаточно долгое время. Слушатели обычно прикреплялись к определенным учителям на длительный период времени до тех пор, пока им не было доверено стать авторитетами по хадисам своих учителей. Иногда их называли </w:t>
      </w:r>
      <w:proofErr w:type="spellStart"/>
      <w:r w:rsidRPr="00D5556B">
        <w:rPr>
          <w:sz w:val="22"/>
        </w:rPr>
        <w:t>рави</w:t>
      </w:r>
      <w:proofErr w:type="spellEnd"/>
      <w:r w:rsidRPr="00D5556B">
        <w:rPr>
          <w:sz w:val="22"/>
        </w:rPr>
        <w:t xml:space="preserve"> или сахиб такого-то человека. Даже если сохранялись постоянные встречи с целью обучения, на одном уроке обучали лишь незначительному числу хадисов, </w:t>
      </w:r>
      <w:proofErr w:type="gramStart"/>
      <w:r w:rsidRPr="00D5556B">
        <w:rPr>
          <w:sz w:val="22"/>
        </w:rPr>
        <w:t>например</w:t>
      </w:r>
      <w:proofErr w:type="gramEnd"/>
      <w:r w:rsidRPr="00D5556B">
        <w:rPr>
          <w:sz w:val="22"/>
        </w:rPr>
        <w:t xml:space="preserve"> всего трем или четырем.</w:t>
      </w:r>
    </w:p>
    <w:p w:rsidR="00D5556B" w:rsidRPr="00D5556B" w:rsidRDefault="00D5556B" w:rsidP="00D5556B">
      <w:pPr>
        <w:rPr>
          <w:b/>
          <w:sz w:val="28"/>
          <w:szCs w:val="28"/>
        </w:rPr>
      </w:pPr>
      <w:r w:rsidRPr="00D5556B">
        <w:rPr>
          <w:b/>
          <w:sz w:val="28"/>
          <w:szCs w:val="28"/>
        </w:rPr>
        <w:t>Неправильное понимание высказываний ранних ученых.</w:t>
      </w:r>
    </w:p>
    <w:p w:rsidR="00D5556B" w:rsidRPr="00D5556B" w:rsidRDefault="00D5556B" w:rsidP="00D5556B"/>
    <w:p w:rsidR="00D5556B" w:rsidRPr="00D5556B" w:rsidRDefault="00D5556B" w:rsidP="00D5556B">
      <w:pPr>
        <w:ind w:left="-15" w:right="40"/>
        <w:rPr>
          <w:sz w:val="22"/>
        </w:rPr>
      </w:pPr>
      <w:r w:rsidRPr="00D5556B">
        <w:rPr>
          <w:sz w:val="22"/>
        </w:rPr>
        <w:t xml:space="preserve">Многие ученые, записывающие хадисы, иногда испытывали неприязнь к этой деятельности, приводя свои беспочвенные доводы подобного отношения, которые не были основаны на учении Пророка. Во </w:t>
      </w:r>
      <w:r w:rsidRPr="00D5556B">
        <w:rPr>
          <w:sz w:val="22"/>
        </w:rPr>
        <w:lastRenderedPageBreak/>
        <w:t xml:space="preserve">многих </w:t>
      </w:r>
      <w:proofErr w:type="gramStart"/>
      <w:r w:rsidRPr="00D5556B">
        <w:rPr>
          <w:sz w:val="22"/>
        </w:rPr>
        <w:t>случаях  они</w:t>
      </w:r>
      <w:proofErr w:type="gramEnd"/>
      <w:r w:rsidRPr="00D5556B">
        <w:rPr>
          <w:sz w:val="22"/>
        </w:rPr>
        <w:t xml:space="preserve"> пренебрегали этими доводами  или даже истолковывали их как противоречащие записи хадисов без какого-либо серьезного обоснования.</w:t>
      </w:r>
    </w:p>
    <w:p w:rsidR="00512D3C" w:rsidRDefault="00512D3C" w:rsidP="00512D3C">
      <w:pPr>
        <w:spacing w:after="262"/>
        <w:ind w:left="-15" w:right="40"/>
        <w:rPr>
          <w:b/>
        </w:rPr>
      </w:pPr>
    </w:p>
    <w:p w:rsidR="00D5556B" w:rsidRDefault="00D5556B" w:rsidP="00D5556B">
      <w:pPr>
        <w:spacing w:after="145" w:line="271" w:lineRule="auto"/>
        <w:ind w:left="-5" w:hanging="10"/>
        <w:jc w:val="left"/>
        <w:rPr>
          <w:b/>
          <w:sz w:val="28"/>
          <w:szCs w:val="28"/>
        </w:rPr>
      </w:pPr>
      <w:r w:rsidRPr="00D5556B">
        <w:rPr>
          <w:b/>
          <w:sz w:val="28"/>
          <w:szCs w:val="28"/>
        </w:rPr>
        <w:t xml:space="preserve">Система </w:t>
      </w:r>
      <w:proofErr w:type="spellStart"/>
      <w:r w:rsidRPr="00D5556B">
        <w:rPr>
          <w:b/>
          <w:sz w:val="28"/>
          <w:szCs w:val="28"/>
        </w:rPr>
        <w:t>иснада</w:t>
      </w:r>
      <w:proofErr w:type="spellEnd"/>
      <w:r w:rsidRPr="00D5556B">
        <w:rPr>
          <w:b/>
          <w:sz w:val="28"/>
          <w:szCs w:val="28"/>
        </w:rPr>
        <w:t xml:space="preserve"> (цепочка передатчиков)</w:t>
      </w:r>
      <w:r>
        <w:rPr>
          <w:b/>
          <w:sz w:val="28"/>
          <w:szCs w:val="28"/>
        </w:rPr>
        <w:t>.</w:t>
      </w:r>
    </w:p>
    <w:p w:rsidR="00D5556B" w:rsidRPr="00D5556B" w:rsidRDefault="00D5556B" w:rsidP="00D5556B">
      <w:pPr>
        <w:ind w:left="-15" w:right="40"/>
        <w:rPr>
          <w:sz w:val="22"/>
        </w:rPr>
      </w:pPr>
      <w:r w:rsidRPr="00D5556B">
        <w:rPr>
          <w:sz w:val="22"/>
        </w:rPr>
        <w:t xml:space="preserve">Каждый хадис состоит из двух частей. Хадис, заимствованный у </w:t>
      </w:r>
      <w:proofErr w:type="spellStart"/>
      <w:r w:rsidRPr="00D5556B">
        <w:rPr>
          <w:sz w:val="22"/>
        </w:rPr>
        <w:t>Бухари</w:t>
      </w:r>
      <w:proofErr w:type="spellEnd"/>
      <w:r w:rsidRPr="00D5556B">
        <w:rPr>
          <w:sz w:val="22"/>
        </w:rPr>
        <w:t>, говорит, что Сулейман Абу ар-</w:t>
      </w:r>
      <w:proofErr w:type="spellStart"/>
      <w:r w:rsidRPr="00D5556B">
        <w:rPr>
          <w:sz w:val="22"/>
        </w:rPr>
        <w:t>Раби</w:t>
      </w:r>
      <w:proofErr w:type="spellEnd"/>
      <w:r w:rsidRPr="00D5556B">
        <w:rPr>
          <w:sz w:val="22"/>
        </w:rPr>
        <w:t xml:space="preserve">‘ сообщил ему, говоря, что Исмаил б. </w:t>
      </w:r>
      <w:proofErr w:type="spellStart"/>
      <w:r w:rsidRPr="00D5556B">
        <w:rPr>
          <w:sz w:val="22"/>
        </w:rPr>
        <w:t>Джафар</w:t>
      </w:r>
      <w:proofErr w:type="spellEnd"/>
      <w:r w:rsidRPr="00D5556B">
        <w:rPr>
          <w:sz w:val="22"/>
        </w:rPr>
        <w:t xml:space="preserve"> поведал, что </w:t>
      </w:r>
      <w:proofErr w:type="spellStart"/>
      <w:r w:rsidRPr="00D5556B">
        <w:rPr>
          <w:sz w:val="22"/>
        </w:rPr>
        <w:t>Нафи</w:t>
      </w:r>
      <w:proofErr w:type="spellEnd"/>
      <w:r w:rsidRPr="00D5556B">
        <w:rPr>
          <w:sz w:val="22"/>
        </w:rPr>
        <w:t xml:space="preserve"> б. Малик сообщил ему, ссылаясь на авторитет его отца, что Абу </w:t>
      </w:r>
      <w:proofErr w:type="spellStart"/>
      <w:r w:rsidRPr="00D5556B">
        <w:rPr>
          <w:sz w:val="22"/>
        </w:rPr>
        <w:t>Хурайра</w:t>
      </w:r>
      <w:proofErr w:type="spellEnd"/>
      <w:r w:rsidRPr="00D5556B">
        <w:rPr>
          <w:sz w:val="22"/>
        </w:rPr>
        <w:t xml:space="preserve"> рассказал о том, что Пророк сообщил: «Признаков лицемера всего три:</w:t>
      </w:r>
    </w:p>
    <w:p w:rsidR="00D5556B" w:rsidRPr="00D5556B" w:rsidRDefault="00DB31A2" w:rsidP="00D5556B">
      <w:pPr>
        <w:ind w:left="170" w:right="40" w:firstLine="0"/>
        <w:rPr>
          <w:sz w:val="22"/>
        </w:rPr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D4880A" wp14:editId="1273B317">
                <wp:simplePos x="0" y="0"/>
                <wp:positionH relativeFrom="page">
                  <wp:posOffset>8113471</wp:posOffset>
                </wp:positionH>
                <wp:positionV relativeFrom="page">
                  <wp:posOffset>2582621</wp:posOffset>
                </wp:positionV>
                <wp:extent cx="12700" cy="5493233"/>
                <wp:effectExtent l="0" t="0" r="0" b="0"/>
                <wp:wrapSquare wrapText="bothSides"/>
                <wp:docPr id="53414" name="Group 53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5493233"/>
                          <a:chOff x="0" y="0"/>
                          <a:chExt cx="12700" cy="5493233"/>
                        </a:xfrm>
                      </wpg:grpSpPr>
                      <wps:wsp>
                        <wps:cNvPr id="4109" name="Shape 4109"/>
                        <wps:cNvSpPr/>
                        <wps:spPr>
                          <a:xfrm>
                            <a:off x="0" y="0"/>
                            <a:ext cx="0" cy="549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3233">
                                <a:moveTo>
                                  <a:pt x="0" y="0"/>
                                </a:moveTo>
                                <a:lnTo>
                                  <a:pt x="0" y="5493233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7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D5E27" id="Group 53414" o:spid="_x0000_s1026" style="position:absolute;margin-left:638.85pt;margin-top:203.35pt;width:1pt;height:432.55pt;z-index:251663360;mso-position-horizontal-relative:page;mso-position-vertical-relative:page" coordsize="127,5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">
                <v:shape id="Shape 4109" o:spid="_x0000_s1027" style="position:absolute;width:0;height:54932;visibility:visible;mso-wrap-style:square;v-text-anchor:top" coordsize="0,549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xUsMA&#10;AADdAAAADwAAAGRycy9kb3ducmV2LnhtbESPQYvCMBSE7wv7H8Jb8LJoqoho1ygiCuLNKrrHR/Ns&#10;i81LaWJb/70RBI/DzHzDzJedKUVDtSssKxgOIhDEqdUFZwpOx21/CsJ5ZI2lZVLwIAfLxffXHGNt&#10;Wz5Qk/hMBAi7GBXk3lexlC7NyaAb2Io4eFdbG/RB1pnUNbYBbko5iqKJNFhwWMixonVO6S25GwX3&#10;JP3dbUja8/Ry2h9W+0a3/1Kp3k+3+gPhqfOf8Lu90wrGw2gGrzfhCc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cxUsMAAADdAAAADwAAAAAAAAAAAAAAAACYAgAAZHJzL2Rv&#10;d25yZXYueG1sUEsFBgAAAAAEAAQA9QAAAIgDAAAAAA==&#10;" path="m,l,5493233e" filled="f" strokecolor="#221f1f" strokeweight="1pt">
                  <v:stroke endcap="round"/>
                  <v:path arrowok="t" textboxrect="0,0,0,5493233"/>
                </v:shape>
                <w10:wrap type="square" anchorx="page" anchory="page"/>
              </v:group>
            </w:pict>
          </mc:Fallback>
        </mc:AlternateContent>
      </w:r>
      <w:r w:rsidR="00D5556B" w:rsidRPr="00D5556B">
        <w:rPr>
          <w:sz w:val="22"/>
        </w:rPr>
        <w:t>Он лжет всякий раз, когда говорит.</w:t>
      </w:r>
    </w:p>
    <w:p w:rsidR="00D5556B" w:rsidRPr="00D5556B" w:rsidRDefault="00D5556B" w:rsidP="00D5556B">
      <w:pPr>
        <w:ind w:left="170" w:right="40" w:firstLine="0"/>
        <w:rPr>
          <w:sz w:val="22"/>
        </w:rPr>
      </w:pPr>
      <w:r w:rsidRPr="00D5556B">
        <w:rPr>
          <w:sz w:val="22"/>
        </w:rPr>
        <w:t>Когда он дает обещание, то не держит его.</w:t>
      </w:r>
    </w:p>
    <w:p w:rsidR="00D5556B" w:rsidRPr="00D5556B" w:rsidRDefault="00D5556B" w:rsidP="00D5556B">
      <w:pPr>
        <w:ind w:left="170" w:right="40" w:firstLine="0"/>
        <w:rPr>
          <w:sz w:val="22"/>
        </w:rPr>
      </w:pPr>
      <w:r w:rsidRPr="00D5556B"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933D83" wp14:editId="47ABAE52">
                <wp:simplePos x="0" y="0"/>
                <wp:positionH relativeFrom="page">
                  <wp:posOffset>550215</wp:posOffset>
                </wp:positionH>
                <wp:positionV relativeFrom="page">
                  <wp:posOffset>1076096</wp:posOffset>
                </wp:positionV>
                <wp:extent cx="12700" cy="5493233"/>
                <wp:effectExtent l="0" t="0" r="0" b="0"/>
                <wp:wrapSquare wrapText="bothSides"/>
                <wp:docPr id="49813" name="Group 49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5493233"/>
                          <a:chOff x="0" y="0"/>
                          <a:chExt cx="12700" cy="5493233"/>
                        </a:xfrm>
                      </wpg:grpSpPr>
                      <wps:wsp>
                        <wps:cNvPr id="2575" name="Shape 2575"/>
                        <wps:cNvSpPr/>
                        <wps:spPr>
                          <a:xfrm>
                            <a:off x="0" y="0"/>
                            <a:ext cx="0" cy="549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3233">
                                <a:moveTo>
                                  <a:pt x="0" y="0"/>
                                </a:moveTo>
                                <a:lnTo>
                                  <a:pt x="0" y="5493233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7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B45E3" id="Group 49813" o:spid="_x0000_s1026" style="position:absolute;margin-left:43.3pt;margin-top:84.75pt;width:1pt;height:432.55pt;z-index:251661312;mso-position-horizontal-relative:page;mso-position-vertical-relative:page" coordsize="127,5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">
                <v:shape id="Shape 2575" o:spid="_x0000_s1027" style="position:absolute;width:0;height:54932;visibility:visible;mso-wrap-style:square;v-text-anchor:top" coordsize="0,549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ceEcQA&#10;AADdAAAADwAAAGRycy9kb3ducmV2LnhtbESPQYvCMBSE74L/ITzBi2iqoCvVKCIK4s2uqMdH82yL&#10;zUtpYtv995uFBY/DzHzDrLedKUVDtSssK5hOIhDEqdUFZwqu38fxEoTzyBpLy6TghxxsN/3eGmNt&#10;W75Qk/hMBAi7GBXk3lexlC7NyaCb2Io4eE9bG/RB1pnUNbYBbko5i6KFNFhwWMixon1O6St5GwXv&#10;JB2dDiTtbXm/ni+7c6Pbh1RqOOh2KxCeOv8J/7dPWsFs/jWHvzfh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XHhHEAAAA3QAAAA8AAAAAAAAAAAAAAAAAmAIAAGRycy9k&#10;b3ducmV2LnhtbFBLBQYAAAAABAAEAPUAAACJAwAAAAA=&#10;" path="m,l,5493233e" filled="f" strokecolor="#221f1f" strokeweight="1pt">
                  <v:stroke endcap="round"/>
                  <v:path arrowok="t" textboxrect="0,0,0,5493233"/>
                </v:shape>
                <w10:wrap type="square" anchorx="page" anchory="page"/>
              </v:group>
            </w:pict>
          </mc:Fallback>
        </mc:AlternateContent>
      </w:r>
      <w:r w:rsidRPr="00D5556B">
        <w:rPr>
          <w:sz w:val="22"/>
        </w:rPr>
        <w:t>Когда доверяешь чему-то, он подтверждает свою нечестность».</w:t>
      </w:r>
    </w:p>
    <w:p w:rsidR="00D5556B" w:rsidRPr="00D5556B" w:rsidRDefault="00D5556B" w:rsidP="00D5556B">
      <w:pPr>
        <w:ind w:left="-15" w:right="40"/>
        <w:rPr>
          <w:sz w:val="22"/>
        </w:rPr>
      </w:pPr>
      <w:r w:rsidRPr="00D5556B">
        <w:rPr>
          <w:sz w:val="22"/>
        </w:rPr>
        <w:t xml:space="preserve">Этот хадис содержит ряд имен рассказчиков, и, кроме того, подлинный текст, восходящий к Пророку. </w:t>
      </w:r>
    </w:p>
    <w:p w:rsidR="00DB31A2" w:rsidRDefault="00D5556B" w:rsidP="00DB31A2">
      <w:pPr>
        <w:spacing w:after="262"/>
        <w:ind w:left="-15" w:right="40"/>
      </w:pPr>
      <w:r w:rsidRPr="00D5556B">
        <w:rPr>
          <w:sz w:val="22"/>
        </w:rPr>
        <w:t xml:space="preserve">Первая часть хадиса называется </w:t>
      </w:r>
      <w:proofErr w:type="spellStart"/>
      <w:r w:rsidRPr="00D5556B">
        <w:rPr>
          <w:sz w:val="22"/>
        </w:rPr>
        <w:t>иснад</w:t>
      </w:r>
      <w:proofErr w:type="spellEnd"/>
      <w:r w:rsidRPr="00D5556B">
        <w:rPr>
          <w:sz w:val="22"/>
        </w:rPr>
        <w:t xml:space="preserve">, тогда как подлинное высказывание или информация, относящаяся к Пророку, называется </w:t>
      </w:r>
      <w:proofErr w:type="spellStart"/>
      <w:r w:rsidRPr="00D5556B">
        <w:rPr>
          <w:sz w:val="22"/>
        </w:rPr>
        <w:t>матн</w:t>
      </w:r>
      <w:proofErr w:type="spellEnd"/>
      <w:r w:rsidRPr="00D5556B">
        <w:rPr>
          <w:sz w:val="22"/>
        </w:rPr>
        <w:t xml:space="preserve">. </w:t>
      </w:r>
      <w:proofErr w:type="spellStart"/>
      <w:r w:rsidRPr="00D5556B">
        <w:rPr>
          <w:sz w:val="22"/>
        </w:rPr>
        <w:t>Иснад</w:t>
      </w:r>
      <w:proofErr w:type="spellEnd"/>
      <w:r w:rsidRPr="00D5556B">
        <w:rPr>
          <w:sz w:val="22"/>
        </w:rPr>
        <w:t xml:space="preserve">, согласно арабской лексикографии, означает вещь, на которую полагается другая. Так как мы уверены в знании рассказчиками высказываний Пророка, эта цепь называется </w:t>
      </w:r>
      <w:proofErr w:type="spellStart"/>
      <w:r w:rsidRPr="00D5556B">
        <w:rPr>
          <w:sz w:val="22"/>
        </w:rPr>
        <w:t>иснадом</w:t>
      </w:r>
      <w:proofErr w:type="spellEnd"/>
      <w:r w:rsidRPr="00D5556B">
        <w:rPr>
          <w:sz w:val="22"/>
        </w:rPr>
        <w:t xml:space="preserve">. Его множественное число </w:t>
      </w:r>
      <w:proofErr w:type="spellStart"/>
      <w:r w:rsidRPr="00D5556B">
        <w:rPr>
          <w:sz w:val="22"/>
        </w:rPr>
        <w:t>асанид</w:t>
      </w:r>
      <w:proofErr w:type="spellEnd"/>
      <w:r w:rsidRPr="00D5556B">
        <w:rPr>
          <w:sz w:val="22"/>
        </w:rPr>
        <w:t xml:space="preserve">. Иногда вместо </w:t>
      </w:r>
      <w:proofErr w:type="spellStart"/>
      <w:r w:rsidRPr="00D5556B">
        <w:rPr>
          <w:sz w:val="22"/>
        </w:rPr>
        <w:t>иснада</w:t>
      </w:r>
      <w:proofErr w:type="spellEnd"/>
      <w:r w:rsidRPr="00D5556B">
        <w:rPr>
          <w:sz w:val="22"/>
        </w:rPr>
        <w:t xml:space="preserve"> используется термин </w:t>
      </w:r>
      <w:proofErr w:type="spellStart"/>
      <w:r w:rsidRPr="00D5556B">
        <w:rPr>
          <w:sz w:val="22"/>
        </w:rPr>
        <w:t>тарик</w:t>
      </w:r>
      <w:proofErr w:type="spellEnd"/>
      <w:r w:rsidRPr="00D5556B">
        <w:rPr>
          <w:sz w:val="22"/>
        </w:rPr>
        <w:t xml:space="preserve">, а иногда с этой же целью употребляется термин </w:t>
      </w:r>
      <w:proofErr w:type="spellStart"/>
      <w:r w:rsidRPr="00D5556B">
        <w:rPr>
          <w:sz w:val="22"/>
        </w:rPr>
        <w:t>ваджх</w:t>
      </w:r>
      <w:proofErr w:type="spellEnd"/>
      <w:r w:rsidRPr="00D5556B">
        <w:rPr>
          <w:sz w:val="22"/>
        </w:rPr>
        <w:t>.</w:t>
      </w:r>
    </w:p>
    <w:p w:rsidR="00DB31A2" w:rsidRPr="00DB31A2" w:rsidRDefault="00DB31A2" w:rsidP="00DB31A2">
      <w:pPr>
        <w:rPr>
          <w:b/>
          <w:sz w:val="28"/>
          <w:szCs w:val="28"/>
        </w:rPr>
      </w:pPr>
      <w:r w:rsidRPr="00DB31A2">
        <w:rPr>
          <w:b/>
          <w:sz w:val="28"/>
          <w:szCs w:val="28"/>
        </w:rPr>
        <w:t xml:space="preserve">Аль хадис аль </w:t>
      </w:r>
      <w:proofErr w:type="spellStart"/>
      <w:r w:rsidRPr="00DB31A2">
        <w:rPr>
          <w:b/>
          <w:sz w:val="28"/>
          <w:szCs w:val="28"/>
        </w:rPr>
        <w:t>кудси</w:t>
      </w:r>
      <w:proofErr w:type="spellEnd"/>
      <w:r w:rsidRPr="00DB31A2">
        <w:rPr>
          <w:b/>
          <w:sz w:val="28"/>
          <w:szCs w:val="28"/>
        </w:rPr>
        <w:t>.</w:t>
      </w:r>
    </w:p>
    <w:p w:rsidR="00DB31A2" w:rsidRPr="00DB31A2" w:rsidRDefault="00DB31A2" w:rsidP="00DB31A2">
      <w:pPr>
        <w:spacing w:after="46"/>
        <w:ind w:left="170" w:right="40" w:firstLine="0"/>
        <w:rPr>
          <w:sz w:val="22"/>
        </w:rPr>
      </w:pPr>
      <w:r w:rsidRPr="00DB31A2">
        <w:rPr>
          <w:sz w:val="22"/>
        </w:rPr>
        <w:t xml:space="preserve">В некоторых хадисах Пророк говорит, что Всемогущий Аллах </w:t>
      </w:r>
      <w:proofErr w:type="spellStart"/>
      <w:r w:rsidRPr="00DB31A2">
        <w:rPr>
          <w:sz w:val="22"/>
        </w:rPr>
        <w:t>ска</w:t>
      </w:r>
      <w:proofErr w:type="spellEnd"/>
      <w:r w:rsidRPr="00DB31A2">
        <w:rPr>
          <w:sz w:val="22"/>
        </w:rPr>
        <w:t>-</w:t>
      </w:r>
    </w:p>
    <w:p w:rsidR="00DB31A2" w:rsidRPr="00DB31A2" w:rsidRDefault="00DB31A2" w:rsidP="00DB31A2">
      <w:pPr>
        <w:ind w:left="-15" w:right="40" w:firstLine="0"/>
        <w:rPr>
          <w:sz w:val="22"/>
        </w:rPr>
      </w:pPr>
      <w:r w:rsidRPr="00DB31A2">
        <w:rPr>
          <w:sz w:val="22"/>
        </w:rPr>
        <w:t>зал (</w:t>
      </w:r>
      <w:r w:rsidRPr="00DB31A2">
        <w:rPr>
          <w:rFonts w:ascii="Simplified Arabic" w:eastAsia="Simplified Arabic" w:hAnsi="Simplified Arabic" w:cs="Simplified Arabic"/>
          <w:b/>
          <w:bCs/>
          <w:sz w:val="22"/>
          <w:rtl/>
        </w:rPr>
        <w:t>قال اﷲ تعالى، يقول اﷲ تعالى</w:t>
      </w:r>
      <w:r w:rsidRPr="00DB31A2">
        <w:rPr>
          <w:sz w:val="22"/>
        </w:rPr>
        <w:t xml:space="preserve">) так-то и так-то. Эти хадисы называются хадисами </w:t>
      </w:r>
      <w:proofErr w:type="spellStart"/>
      <w:r w:rsidRPr="00DB31A2">
        <w:rPr>
          <w:sz w:val="22"/>
        </w:rPr>
        <w:t>кудси</w:t>
      </w:r>
      <w:proofErr w:type="spellEnd"/>
      <w:r w:rsidRPr="00DB31A2">
        <w:rPr>
          <w:sz w:val="22"/>
        </w:rPr>
        <w:t xml:space="preserve"> (</w:t>
      </w:r>
      <w:r w:rsidRPr="00DB31A2">
        <w:rPr>
          <w:rFonts w:ascii="Simplified Arabic" w:eastAsia="Simplified Arabic" w:hAnsi="Simplified Arabic" w:cs="Simplified Arabic"/>
          <w:b/>
          <w:bCs/>
          <w:sz w:val="22"/>
          <w:rtl/>
        </w:rPr>
        <w:t>قدسي</w:t>
      </w:r>
      <w:r w:rsidRPr="00DB31A2">
        <w:rPr>
          <w:sz w:val="22"/>
        </w:rPr>
        <w:t>). Смысл этих хадисов был ниспослан Пророку, который изложил их в собственных выражениях. Священный Коран является истинным словом Всемогущего Аллаха, а Пророк должен был только воспринять его и обучить ему людей, объяснять его и вести себя соответствующим образом.</w:t>
      </w:r>
    </w:p>
    <w:p w:rsidR="00D5556B" w:rsidRPr="00D5556B" w:rsidRDefault="00D5556B" w:rsidP="00D5556B">
      <w:pPr>
        <w:spacing w:after="145" w:line="271" w:lineRule="auto"/>
        <w:ind w:left="-5" w:hanging="10"/>
        <w:jc w:val="left"/>
        <w:rPr>
          <w:b/>
          <w:sz w:val="28"/>
          <w:szCs w:val="28"/>
        </w:rPr>
      </w:pPr>
    </w:p>
    <w:p w:rsidR="00D5556B" w:rsidRDefault="00DB31A2" w:rsidP="00512D3C">
      <w:pPr>
        <w:spacing w:after="262"/>
        <w:ind w:left="-15" w:right="40"/>
        <w:rPr>
          <w:b/>
          <w:i/>
          <w:sz w:val="28"/>
          <w:szCs w:val="28"/>
        </w:rPr>
      </w:pPr>
      <w:proofErr w:type="spellStart"/>
      <w:r w:rsidRPr="00DB31A2">
        <w:rPr>
          <w:b/>
          <w:i/>
          <w:sz w:val="28"/>
          <w:szCs w:val="28"/>
        </w:rPr>
        <w:t>Мухаддисы</w:t>
      </w:r>
      <w:proofErr w:type="spellEnd"/>
      <w:r w:rsidRPr="00DB31A2">
        <w:rPr>
          <w:b/>
          <w:i/>
          <w:sz w:val="28"/>
          <w:szCs w:val="28"/>
        </w:rPr>
        <w:t xml:space="preserve"> и их степени</w:t>
      </w:r>
      <w:r>
        <w:rPr>
          <w:b/>
          <w:i/>
          <w:sz w:val="28"/>
          <w:szCs w:val="28"/>
        </w:rPr>
        <w:t>.</w:t>
      </w:r>
    </w:p>
    <w:p w:rsidR="00DB31A2" w:rsidRPr="00DB31A2" w:rsidRDefault="00DB31A2" w:rsidP="00DB31A2">
      <w:pPr>
        <w:ind w:left="-15" w:right="40"/>
        <w:rPr>
          <w:sz w:val="22"/>
        </w:rPr>
      </w:pPr>
      <w:r w:rsidRPr="00DB31A2">
        <w:rPr>
          <w:sz w:val="22"/>
        </w:rPr>
        <w:t xml:space="preserve">Метод критики, который мы рассмотрели, помогал ученым при определении степени точности отдельного передатчика хадиса, что в результате приводило к оценке передатчика в свете его научных достижений. Тем не </w:t>
      </w:r>
      <w:proofErr w:type="gramStart"/>
      <w:r w:rsidRPr="00DB31A2">
        <w:rPr>
          <w:sz w:val="22"/>
        </w:rPr>
        <w:t xml:space="preserve">менее  </w:t>
      </w:r>
      <w:proofErr w:type="spellStart"/>
      <w:r w:rsidRPr="00DB31A2">
        <w:rPr>
          <w:sz w:val="22"/>
        </w:rPr>
        <w:t>мухаддисы</w:t>
      </w:r>
      <w:proofErr w:type="spellEnd"/>
      <w:proofErr w:type="gramEnd"/>
      <w:r w:rsidRPr="00DB31A2">
        <w:rPr>
          <w:sz w:val="22"/>
        </w:rPr>
        <w:t xml:space="preserve"> не считали это достаточным для принятия переданных сведений вне зависимости от того, насколько точным мог быть этот ученый.</w:t>
      </w:r>
    </w:p>
    <w:p w:rsidR="00DB31A2" w:rsidRPr="00DB31A2" w:rsidRDefault="00DB31A2" w:rsidP="00DB31A2">
      <w:pPr>
        <w:ind w:left="-15" w:right="40"/>
        <w:rPr>
          <w:sz w:val="22"/>
        </w:rPr>
      </w:pPr>
      <w:r w:rsidRPr="00DB31A2">
        <w:rPr>
          <w:sz w:val="22"/>
        </w:rPr>
        <w:t>Существовали дополнительные требования, которым должен был соответствовать ученый, чтобы его рассказ мог быть принят.</w:t>
      </w:r>
    </w:p>
    <w:p w:rsidR="00DB31A2" w:rsidRPr="00DB31A2" w:rsidRDefault="00DB31A2" w:rsidP="00DB31A2">
      <w:pPr>
        <w:ind w:left="-15" w:right="40"/>
        <w:rPr>
          <w:sz w:val="22"/>
        </w:rPr>
      </w:pPr>
      <w:r w:rsidRPr="00DB31A2">
        <w:rPr>
          <w:sz w:val="22"/>
        </w:rPr>
        <w:t xml:space="preserve">Чтобы принять хадис согласно данному критерию критиков хадисов, недостаточно, чтобы это его сообщение было подлинным само по себе. Кроме этого, рассказчик должен быть </w:t>
      </w:r>
      <w:proofErr w:type="spellStart"/>
      <w:r w:rsidRPr="00DB31A2">
        <w:rPr>
          <w:sz w:val="22"/>
        </w:rPr>
        <w:t>адль</w:t>
      </w:r>
      <w:proofErr w:type="spellEnd"/>
      <w:r w:rsidRPr="00DB31A2">
        <w:rPr>
          <w:sz w:val="22"/>
        </w:rPr>
        <w:t>, т.е. добродетельного поведения. Другими словами, его характер должен быть приемлемым с точки зрения Ислама.</w:t>
      </w:r>
    </w:p>
    <w:p w:rsidR="00DB31A2" w:rsidRPr="00DB31A2" w:rsidRDefault="00DB31A2" w:rsidP="00DB31A2">
      <w:pPr>
        <w:numPr>
          <w:ilvl w:val="0"/>
          <w:numId w:val="1"/>
        </w:numPr>
        <w:ind w:left="280" w:right="40" w:hanging="110"/>
        <w:rPr>
          <w:sz w:val="22"/>
        </w:rPr>
      </w:pPr>
      <w:r w:rsidRPr="00DB31A2">
        <w:rPr>
          <w:sz w:val="22"/>
        </w:rPr>
        <w:t>Один из ученых второго века Ибн аль-</w:t>
      </w:r>
      <w:proofErr w:type="spellStart"/>
      <w:r w:rsidRPr="00DB31A2">
        <w:rPr>
          <w:sz w:val="22"/>
        </w:rPr>
        <w:t>Мубарак</w:t>
      </w:r>
      <w:proofErr w:type="spellEnd"/>
      <w:r w:rsidRPr="00DB31A2">
        <w:rPr>
          <w:sz w:val="22"/>
        </w:rPr>
        <w:t xml:space="preserve"> (118181х.) определил эту проблему таким образом. Рассказчиком должен быть человек, который: совершает пятничную молитву. совершает пятничную молитву;</w:t>
      </w:r>
    </w:p>
    <w:p w:rsidR="00DB31A2" w:rsidRPr="00DB31A2" w:rsidRDefault="00DB31A2" w:rsidP="00DB31A2">
      <w:pPr>
        <w:numPr>
          <w:ilvl w:val="0"/>
          <w:numId w:val="1"/>
        </w:numPr>
        <w:ind w:left="280" w:right="40" w:hanging="110"/>
        <w:rPr>
          <w:sz w:val="22"/>
        </w:rPr>
      </w:pPr>
      <w:r w:rsidRPr="00DB31A2">
        <w:rPr>
          <w:sz w:val="22"/>
        </w:rPr>
        <w:t>совершает пятничную молитву;</w:t>
      </w:r>
    </w:p>
    <w:p w:rsidR="00DB31A2" w:rsidRPr="00DB31A2" w:rsidRDefault="00DB31A2" w:rsidP="00DB31A2">
      <w:pPr>
        <w:numPr>
          <w:ilvl w:val="0"/>
          <w:numId w:val="1"/>
        </w:numPr>
        <w:spacing w:after="1" w:line="289" w:lineRule="auto"/>
        <w:ind w:left="280" w:right="40" w:hanging="110"/>
        <w:rPr>
          <w:sz w:val="22"/>
        </w:rPr>
      </w:pPr>
      <w:r w:rsidRPr="00DB31A2">
        <w:rPr>
          <w:sz w:val="22"/>
        </w:rPr>
        <w:t xml:space="preserve">не употребляет </w:t>
      </w:r>
      <w:proofErr w:type="spellStart"/>
      <w:r w:rsidRPr="00DB31A2">
        <w:rPr>
          <w:sz w:val="22"/>
        </w:rPr>
        <w:t>набиз</w:t>
      </w:r>
      <w:proofErr w:type="spellEnd"/>
      <w:r w:rsidRPr="00DB31A2">
        <w:rPr>
          <w:sz w:val="22"/>
        </w:rPr>
        <w:t xml:space="preserve"> (напиток, который может стать причиной опьянения, если продолжать его пить длительное время).</w:t>
      </w:r>
    </w:p>
    <w:p w:rsidR="00DB31A2" w:rsidRPr="00DB31A2" w:rsidRDefault="00DB31A2" w:rsidP="00512D3C">
      <w:pPr>
        <w:spacing w:after="262"/>
        <w:ind w:left="-15" w:right="40"/>
        <w:rPr>
          <w:b/>
          <w:sz w:val="22"/>
        </w:rPr>
      </w:pPr>
    </w:p>
    <w:p w:rsidR="00D5556B" w:rsidRPr="00512D3C" w:rsidRDefault="00D5556B" w:rsidP="00512D3C">
      <w:pPr>
        <w:spacing w:after="262"/>
        <w:ind w:left="-15" w:right="40"/>
        <w:rPr>
          <w:b/>
        </w:rPr>
      </w:pPr>
    </w:p>
    <w:p w:rsidR="00512D3C" w:rsidRDefault="00512D3C" w:rsidP="00512D3C">
      <w:pPr>
        <w:spacing w:after="82" w:line="271" w:lineRule="auto"/>
        <w:ind w:left="-5" w:hanging="10"/>
        <w:jc w:val="left"/>
      </w:pPr>
    </w:p>
    <w:p w:rsidR="00512D3C" w:rsidRPr="00512D3C" w:rsidRDefault="00512D3C" w:rsidP="00512D3C">
      <w:pPr>
        <w:ind w:right="40" w:firstLine="0"/>
        <w:rPr>
          <w:b/>
        </w:rPr>
      </w:pPr>
    </w:p>
    <w:p w:rsidR="00EC01D6" w:rsidRDefault="00EC01D6"/>
    <w:sectPr w:rsidR="00EC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D6260"/>
    <w:multiLevelType w:val="hybridMultilevel"/>
    <w:tmpl w:val="7E08A142"/>
    <w:lvl w:ilvl="0" w:tplc="0124335C">
      <w:start w:val="1"/>
      <w:numFmt w:val="bullet"/>
      <w:lvlText w:val="-"/>
      <w:lvlJc w:val="left"/>
      <w:pPr>
        <w:ind w:left="281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D16D342">
      <w:start w:val="1"/>
      <w:numFmt w:val="bullet"/>
      <w:lvlText w:val="o"/>
      <w:lvlJc w:val="left"/>
      <w:pPr>
        <w:ind w:left="125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FD0E02A">
      <w:start w:val="1"/>
      <w:numFmt w:val="bullet"/>
      <w:lvlText w:val="▪"/>
      <w:lvlJc w:val="left"/>
      <w:pPr>
        <w:ind w:left="197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C8C78FE">
      <w:start w:val="1"/>
      <w:numFmt w:val="bullet"/>
      <w:lvlText w:val="•"/>
      <w:lvlJc w:val="left"/>
      <w:pPr>
        <w:ind w:left="269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BA28D08">
      <w:start w:val="1"/>
      <w:numFmt w:val="bullet"/>
      <w:lvlText w:val="o"/>
      <w:lvlJc w:val="left"/>
      <w:pPr>
        <w:ind w:left="341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17C5BDC">
      <w:start w:val="1"/>
      <w:numFmt w:val="bullet"/>
      <w:lvlText w:val="▪"/>
      <w:lvlJc w:val="left"/>
      <w:pPr>
        <w:ind w:left="413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740ACA">
      <w:start w:val="1"/>
      <w:numFmt w:val="bullet"/>
      <w:lvlText w:val="•"/>
      <w:lvlJc w:val="left"/>
      <w:pPr>
        <w:ind w:left="485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E6089E">
      <w:start w:val="1"/>
      <w:numFmt w:val="bullet"/>
      <w:lvlText w:val="o"/>
      <w:lvlJc w:val="left"/>
      <w:pPr>
        <w:ind w:left="557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37CD2FC">
      <w:start w:val="1"/>
      <w:numFmt w:val="bullet"/>
      <w:lvlText w:val="▪"/>
      <w:lvlJc w:val="left"/>
      <w:pPr>
        <w:ind w:left="6290"/>
      </w:pPr>
      <w:rPr>
        <w:rFonts w:ascii="Garamond" w:eastAsia="Garamond" w:hAnsi="Garamond" w:cs="Garamond"/>
        <w:b w:val="0"/>
        <w:i w:val="0"/>
        <w:strike w:val="0"/>
        <w:dstrike w:val="0"/>
        <w:color w:val="221F1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08"/>
    <w:rsid w:val="00512D3C"/>
    <w:rsid w:val="009C3255"/>
    <w:rsid w:val="00D5556B"/>
    <w:rsid w:val="00DB31A2"/>
    <w:rsid w:val="00E57B08"/>
    <w:rsid w:val="00E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6F04"/>
  <w15:chartTrackingRefBased/>
  <w15:docId w15:val="{3C3696C3-67E2-4964-AEF5-A2AE3BB5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D3C"/>
    <w:pPr>
      <w:spacing w:after="5" w:line="283" w:lineRule="auto"/>
      <w:ind w:firstLine="160"/>
      <w:jc w:val="both"/>
    </w:pPr>
    <w:rPr>
      <w:rFonts w:ascii="Garamond" w:eastAsia="Garamond" w:hAnsi="Garamond" w:cs="Garamond"/>
      <w:color w:val="221F1F"/>
      <w:sz w:val="19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12D3C"/>
    <w:pPr>
      <w:keepNext/>
      <w:keepLines/>
      <w:spacing w:after="152"/>
      <w:ind w:left="10" w:hanging="10"/>
      <w:outlineLvl w:val="0"/>
    </w:pPr>
    <w:rPr>
      <w:rFonts w:ascii="Garamond" w:eastAsia="Garamond" w:hAnsi="Garamond" w:cs="Garamond"/>
      <w:color w:val="221F1F"/>
      <w:sz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D3C"/>
    <w:rPr>
      <w:rFonts w:ascii="Garamond" w:eastAsia="Garamond" w:hAnsi="Garamond" w:cs="Garamond"/>
      <w:color w:val="221F1F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2D3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A2"/>
    <w:rPr>
      <w:rFonts w:ascii="Segoe UI" w:eastAsia="Garamond" w:hAnsi="Segoe UI" w:cs="Segoe UI"/>
      <w:color w:val="221F1F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2020-09-01T18:52:00Z</dcterms:created>
  <dcterms:modified xsi:type="dcterms:W3CDTF">2021-01-29T10:56:00Z</dcterms:modified>
</cp:coreProperties>
</file>