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5241C" w14:textId="72C3C85A" w:rsidR="004D1D6C" w:rsidRDefault="004D1D6C" w:rsidP="004D1D6C">
      <w:pPr>
        <w:shd w:val="clear" w:color="auto" w:fill="FFFFFF"/>
        <w:spacing w:after="405" w:line="408" w:lineRule="atLeast"/>
        <w:ind w:left="-993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>
        <w:rPr>
          <w:noProof/>
        </w:rPr>
        <w:drawing>
          <wp:inline distT="0" distB="0" distL="0" distR="0" wp14:anchorId="52ECB396" wp14:editId="348AA6A6">
            <wp:extent cx="6680200" cy="9765486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6534" cy="978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lastRenderedPageBreak/>
        <w:tab/>
      </w:r>
      <w:r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ab/>
      </w:r>
      <w:r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ab/>
      </w:r>
      <w:r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ab/>
      </w:r>
      <w:r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ab/>
      </w:r>
      <w:r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ab/>
      </w:r>
      <w:r w:rsidR="00CC3E44"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 xml:space="preserve">состава избирают председателя и заместителя председателя комиссии. </w:t>
      </w:r>
    </w:p>
    <w:p w14:paraId="18815F5A" w14:textId="7353DBD3" w:rsidR="00CC3E44" w:rsidRPr="00CC3E44" w:rsidRDefault="00CC3E44" w:rsidP="004D1D6C">
      <w:pPr>
        <w:shd w:val="clear" w:color="auto" w:fill="FFFFFF"/>
        <w:spacing w:after="405" w:line="408" w:lineRule="atLeast"/>
        <w:ind w:left="-993" w:firstLine="993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 xml:space="preserve">Порядок </w:t>
      </w:r>
      <w:r w:rsidR="004D1D6C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 xml:space="preserve">       </w:t>
      </w: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избрания и форма голосования определяется комиссией.</w:t>
      </w:r>
    </w:p>
    <w:p w14:paraId="3633C262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Председатель и члены комиссии осуществляют свою работу на общественных началах.</w:t>
      </w:r>
    </w:p>
    <w:p w14:paraId="7AB504C4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1.4. При необходимости последующая замена (ротация), увеличение и уменьшение числа членов комиссии, досрочное прекращение ее полномочий осуществляется решением внеочередного собрания (конференции) организации.</w:t>
      </w:r>
    </w:p>
    <w:p w14:paraId="0D84DD73" w14:textId="77777777" w:rsidR="00CC3E44" w:rsidRPr="00CC3E44" w:rsidRDefault="00CC3E44" w:rsidP="00CC3E44">
      <w:pPr>
        <w:numPr>
          <w:ilvl w:val="0"/>
          <w:numId w:val="2"/>
        </w:numPr>
        <w:shd w:val="clear" w:color="auto" w:fill="FFFFFF"/>
        <w:spacing w:after="0" w:line="408" w:lineRule="atLeast"/>
        <w:ind w:left="1125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Функции комиссии</w:t>
      </w:r>
    </w:p>
    <w:p w14:paraId="3D303D33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Комиссия осуществляет следующие функции:</w:t>
      </w:r>
    </w:p>
    <w:p w14:paraId="7EA89EBF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2.1. Контролирует:</w:t>
      </w:r>
    </w:p>
    <w:p w14:paraId="25DF01B2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– выполнение постановлений собраний (конференций), профсоюзного комитета по финансовым и имущественным вопросам; порядок прохождения дел, рассмотрение писем, жалоб и предложений членов профсоюза;</w:t>
      </w:r>
    </w:p>
    <w:p w14:paraId="7750CA53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– исполнение бюджета и сметы профсоюзной организации; целевое использование денежных средств профсоюзной организации;</w:t>
      </w:r>
    </w:p>
    <w:p w14:paraId="716EC8FC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– сохранность, правильность и рациональность использования средств профсоюзной организации;</w:t>
      </w:r>
    </w:p>
    <w:p w14:paraId="42216F0C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– достоверность финансовой и статистической отчетности;</w:t>
      </w:r>
    </w:p>
    <w:p w14:paraId="17ADF0CF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– соблюдение требований Устава профсоюза.</w:t>
      </w:r>
    </w:p>
    <w:p w14:paraId="06FBF9B0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2.2. Проводит проверки (ревизии) и проверки финансово-хозяйственной деятельности профсоюзной организации, осуществляет контроль за своевременным и полным поступлением членских профсоюзных взносов.</w:t>
      </w:r>
    </w:p>
    <w:p w14:paraId="0BA6892B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lastRenderedPageBreak/>
        <w:t>Ревизия осуществляется по итогам деятельности профкома за год и перед отчетно-выборным собранием (конференцией), а также по инициативе собрания (конференции), самой комиссии, ходатайству профкома или председателя профсоюзной организации. Результаты ревизий и проверок оформляются актами, справками, заключениями и доводятся до сведения выборного органа профсоюзной организации.</w:t>
      </w:r>
    </w:p>
    <w:p w14:paraId="0EE8DAE4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 xml:space="preserve">2.3. Представляет в пределах своих полномочий собранию (конференции) отчеты о результатах проверок (ревизий) и работе самой комиссии; делает сообщения </w:t>
      </w:r>
      <w:proofErr w:type="gramStart"/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о результата</w:t>
      </w:r>
      <w:proofErr w:type="gramEnd"/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 xml:space="preserve"> проверок (ревизий) на заседаниях профкома, информирует о них председателя профсоюзной организации.</w:t>
      </w:r>
    </w:p>
    <w:p w14:paraId="16220D03" w14:textId="77777777" w:rsidR="00CC3E44" w:rsidRPr="00CC3E44" w:rsidRDefault="00CC3E44" w:rsidP="00CC3E44">
      <w:pPr>
        <w:numPr>
          <w:ilvl w:val="0"/>
          <w:numId w:val="3"/>
        </w:numPr>
        <w:shd w:val="clear" w:color="auto" w:fill="FFFFFF"/>
        <w:spacing w:after="0" w:line="408" w:lineRule="atLeast"/>
        <w:ind w:left="1125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Порядок работы комиссии</w:t>
      </w:r>
    </w:p>
    <w:p w14:paraId="3359D7B3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3.1. Деятельностью комиссии руководит председатель (в его отсутствии – заместитель председателя) комиссии, который созывает и проводит заседания комиссии, от ее имени докладывает собранию (конференции), либо информирует профком, его председателя о результатах проверок (ревизий).</w:t>
      </w:r>
    </w:p>
    <w:p w14:paraId="18B4BCEE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3.2. Комиссия осуществляет свою деятельность в соответствии с разработанным ею планом работы, который определяет периодичность и порядок проведения проверок (ревизий), который рассматривается и утверждается на ее заседании. Заседания комиссии проводятся по мере необходимости, но не реже двух раз в год, и считаются правомочными, если в их работе участвуют более половины членов комиссии. Решения комиссии принимаются в форме постановления открытым голосованием и считаются принятыми, если за них проголосовало не менее двух третьей списочного состава членов комиссии.</w:t>
      </w:r>
    </w:p>
    <w:p w14:paraId="68C0B433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3.3. Председатель комиссии:</w:t>
      </w:r>
    </w:p>
    <w:p w14:paraId="43CDFC24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– утверждает распределение полномочий и обязанностей между членами комиссии;</w:t>
      </w:r>
    </w:p>
    <w:p w14:paraId="504ED555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– участвует в заседаниях профкома с правом совещательного голоса;</w:t>
      </w:r>
    </w:p>
    <w:p w14:paraId="7B5AF910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lastRenderedPageBreak/>
        <w:t>– является делегатом конференции по выборной должности.</w:t>
      </w:r>
    </w:p>
    <w:p w14:paraId="6C11DD2F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3.4. Заместитель председателя комиссии по поручению председателя комиссии участвует в заседаниях профкома; обеспечивает подготовку проектов документов, других материалов на заседания комиссии, оформляет акты ревизий, ведет протоколы заседаний комиссии, осуществляет делопроизводство.</w:t>
      </w:r>
    </w:p>
    <w:p w14:paraId="045F5661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3.5. Предложения комиссии по устранению недостатков и нарушений, выявленных проверкой (ревизией) и изложенных в акте, являются обязательными для исполнения профкомом и сообщению комиссии о принятых мерах в месячный срок в письменной форме.</w:t>
      </w:r>
    </w:p>
    <w:p w14:paraId="588175EB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3.6. Организационно-техническое обеспечение работы комиссии, подготовку и проведение ее заседаний, делопроизводство и ведение протоколов осуществляет председатель (в его отсутствии – заместитель председателя) комиссии.</w:t>
      </w:r>
    </w:p>
    <w:p w14:paraId="7995986D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3.7. Информация комиссии о проделанной работе представляется профкому один раз в год.</w:t>
      </w:r>
    </w:p>
    <w:p w14:paraId="7B05888D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3.8. Деятельность комиссии финансируется профкомом в пределах утвержденных расходов на эти цели сметой профкома.</w:t>
      </w:r>
    </w:p>
    <w:p w14:paraId="1E548C46" w14:textId="77777777" w:rsidR="00CC3E44" w:rsidRPr="00CC3E44" w:rsidRDefault="00CC3E44" w:rsidP="00CC3E44">
      <w:pPr>
        <w:numPr>
          <w:ilvl w:val="0"/>
          <w:numId w:val="4"/>
        </w:numPr>
        <w:shd w:val="clear" w:color="auto" w:fill="FFFFFF"/>
        <w:spacing w:after="0" w:line="408" w:lineRule="atLeast"/>
        <w:ind w:left="1125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Права комиссии</w:t>
      </w:r>
    </w:p>
    <w:p w14:paraId="2C96276E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Члены комиссии имеют право:</w:t>
      </w:r>
    </w:p>
    <w:p w14:paraId="1773842D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4.1. Участвовать в подготовке предложений к разделу коллективного договора (соглашения) по вопросам, находящимся в компетенции комиссии.</w:t>
      </w:r>
    </w:p>
    <w:p w14:paraId="45A26453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4.2. Получать все необходимые сведения, протоколы, документы и материалы, требовать представления справок по вопросам, возникающим при проведении проверок (ревизий).</w:t>
      </w:r>
    </w:p>
    <w:p w14:paraId="01EFA3EA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lastRenderedPageBreak/>
        <w:t>4.3. Беспрепятственно посещать места работы членов профсоюза и соответствующие службы организации для выяснения вопросов, входящих в компетенцию комиссии.</w:t>
      </w:r>
    </w:p>
    <w:p w14:paraId="617000BA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4.4. Принимать решение об освобождении от выборной должности по собственному желанию председателя (заместителя председателя) комиссии и избирать из своего состава новых руководителей комиссии.</w:t>
      </w:r>
    </w:p>
    <w:p w14:paraId="20D8CCAC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4.5. При установлении фактов злоупотреблений, в том числе хищения денежных средств, материальных ценностей, информирует председателя профсоюзной организации и профком, которые готовят материалы для передачи в следственные органы.</w:t>
      </w:r>
    </w:p>
    <w:p w14:paraId="38309895" w14:textId="77777777" w:rsidR="00CC3E44" w:rsidRPr="00CC3E44" w:rsidRDefault="00CC3E44" w:rsidP="00CC3E44">
      <w:pPr>
        <w:numPr>
          <w:ilvl w:val="0"/>
          <w:numId w:val="5"/>
        </w:numPr>
        <w:shd w:val="clear" w:color="auto" w:fill="FFFFFF"/>
        <w:spacing w:after="0" w:line="408" w:lineRule="atLeast"/>
        <w:ind w:left="1125"/>
        <w:textAlignment w:val="baseline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Arial"/>
          <w:b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Номенклатура дел комиссии</w:t>
      </w:r>
    </w:p>
    <w:p w14:paraId="3B5A6B83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Для осуществления своей деятельности комиссия должна иметь следующую документацию:</w:t>
      </w:r>
    </w:p>
    <w:p w14:paraId="16DB6333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– развернутый список членов комиссии;</w:t>
      </w:r>
    </w:p>
    <w:p w14:paraId="79795080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– перспективный (на год), текущий (квартальный, оперативный по выполнению постановлений профсоюзной организации и решений комиссии) планы работы;</w:t>
      </w:r>
    </w:p>
    <w:p w14:paraId="3E122873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– журнал протоколов заседаний комиссии;</w:t>
      </w:r>
    </w:p>
    <w:p w14:paraId="59A6979F" w14:textId="77777777" w:rsidR="00CC3E44" w:rsidRPr="00CC3E44" w:rsidRDefault="00CC3E44" w:rsidP="00CC3E44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</w:pPr>
      <w:r w:rsidRPr="00CC3E44">
        <w:rPr>
          <w:rFonts w:ascii="inherit" w:eastAsia="Times New Roman" w:hAnsi="inherit" w:cs="Open Sans"/>
          <w:color w:val="000000" w:themeColor="text1"/>
          <w:sz w:val="27"/>
          <w:szCs w:val="27"/>
          <w:lang w:eastAsia="ru-RU"/>
        </w:rPr>
        <w:t>– постановления, акты ревизий, подготовленных комиссией для рассмотрения профсоюзным комитетом, собранием (конференцией) организации.</w:t>
      </w:r>
    </w:p>
    <w:p w14:paraId="3D0DEFC1" w14:textId="77777777" w:rsidR="00DA582F" w:rsidRPr="00CC3E44" w:rsidRDefault="00DA582F">
      <w:pPr>
        <w:rPr>
          <w:color w:val="000000" w:themeColor="text1"/>
        </w:rPr>
      </w:pPr>
    </w:p>
    <w:sectPr w:rsidR="00DA582F" w:rsidRPr="00CC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69B1"/>
    <w:multiLevelType w:val="multilevel"/>
    <w:tmpl w:val="15468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CF77CF"/>
    <w:multiLevelType w:val="multilevel"/>
    <w:tmpl w:val="35543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442086"/>
    <w:multiLevelType w:val="multilevel"/>
    <w:tmpl w:val="E1168D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3D609F"/>
    <w:multiLevelType w:val="multilevel"/>
    <w:tmpl w:val="0D8C1D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25A06"/>
    <w:multiLevelType w:val="multilevel"/>
    <w:tmpl w:val="C66EE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7E"/>
    <w:rsid w:val="002C6A84"/>
    <w:rsid w:val="004D1D6C"/>
    <w:rsid w:val="00B2357E"/>
    <w:rsid w:val="00CC3E44"/>
    <w:rsid w:val="00CD0E75"/>
    <w:rsid w:val="00DA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09FB2"/>
  <w15:chartTrackingRefBased/>
  <w15:docId w15:val="{504E2BB4-41D1-4A72-94D5-5C7612CD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Yuser</dc:creator>
  <cp:keywords/>
  <dc:description/>
  <cp:lastModifiedBy>Yuser</cp:lastModifiedBy>
  <cp:revision>5</cp:revision>
  <cp:lastPrinted>2023-09-18T16:47:00Z</cp:lastPrinted>
  <dcterms:created xsi:type="dcterms:W3CDTF">2023-09-18T11:06:00Z</dcterms:created>
  <dcterms:modified xsi:type="dcterms:W3CDTF">2023-09-18T16:51:00Z</dcterms:modified>
</cp:coreProperties>
</file>